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rsidTr="004636DB">
        <w:tc>
          <w:tcPr>
            <w:tcW w:w="3632" w:type="dxa"/>
          </w:tcPr>
          <w:p w:rsidR="00851838" w:rsidRPr="00851838" w:rsidRDefault="00851838" w:rsidP="00851838">
            <w:pPr>
              <w:rPr>
                <w:rFonts w:ascii="Bahnschrift Light" w:hAnsi="Bahnschrift Light"/>
                <w:sz w:val="22"/>
                <w:szCs w:val="22"/>
              </w:rPr>
            </w:pPr>
          </w:p>
          <w:p w:rsidR="00851838" w:rsidRPr="00BE439A" w:rsidRDefault="004A5E89" w:rsidP="00851838">
            <w:pPr>
              <w:rPr>
                <w:rFonts w:ascii="Bahnschrift" w:hAnsi="Bahnschrift"/>
                <w:b/>
                <w:sz w:val="28"/>
                <w:szCs w:val="28"/>
              </w:rPr>
            </w:pPr>
            <w:r>
              <w:rPr>
                <w:rFonts w:ascii="Bahnschrift" w:hAnsi="Bahnschrift"/>
                <w:b/>
                <w:sz w:val="28"/>
                <w:szCs w:val="28"/>
              </w:rPr>
              <w:t>Markt Ruhmannsfelden</w:t>
            </w:r>
          </w:p>
          <w:p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rsidR="00851838" w:rsidRPr="00BE439A" w:rsidRDefault="00851838" w:rsidP="00851838">
            <w:pPr>
              <w:rPr>
                <w:rFonts w:ascii="Bahnschrift Light SemiCondensed" w:hAnsi="Bahnschrift Light SemiCondensed"/>
              </w:rPr>
            </w:pPr>
          </w:p>
          <w:p w:rsidR="00851838" w:rsidRDefault="00851838"/>
        </w:tc>
        <w:tc>
          <w:tcPr>
            <w:tcW w:w="3485" w:type="dxa"/>
          </w:tcPr>
          <w:p w:rsidR="00851838" w:rsidRDefault="00C32CDC">
            <w:r w:rsidRPr="00C32CDC">
              <w:rPr>
                <w:noProof/>
              </w:rPr>
              <w:drawing>
                <wp:anchor distT="0" distB="0" distL="114300" distR="114300" simplePos="0" relativeHeight="251671552" behindDoc="1" locked="0" layoutInCell="1" allowOverlap="1">
                  <wp:simplePos x="0" y="0"/>
                  <wp:positionH relativeFrom="column">
                    <wp:posOffset>629920</wp:posOffset>
                  </wp:positionH>
                  <wp:positionV relativeFrom="paragraph">
                    <wp:posOffset>95250</wp:posOffset>
                  </wp:positionV>
                  <wp:extent cx="759759" cy="800100"/>
                  <wp:effectExtent l="0" t="0" r="2540" b="0"/>
                  <wp:wrapNone/>
                  <wp:docPr id="5" name="Grafik 5" descr="M:\BAUAMT neu\Vorlagen\Wappen\Wappen-Ruhmannsfelden-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UAMT neu\Vorlagen\Wappen\Wappen-Ruhmannsfelden-farbig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759"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rsidR="00851838" w:rsidRDefault="00851838"/>
          <w:p w:rsidR="00851838" w:rsidRPr="00BE439A" w:rsidRDefault="004A5E89" w:rsidP="00851838">
            <w:pPr>
              <w:rPr>
                <w:rFonts w:ascii="Bahnschrift Light SemiCondensed" w:hAnsi="Bahnschrift Light SemiCondensed"/>
                <w:sz w:val="22"/>
                <w:szCs w:val="22"/>
              </w:rPr>
            </w:pPr>
            <w:r>
              <w:rPr>
                <w:rFonts w:ascii="Bahnschrift Light SemiCondensed" w:hAnsi="Bahnschrift Light SemiCondensed"/>
                <w:sz w:val="22"/>
                <w:szCs w:val="22"/>
              </w:rPr>
              <w:t>Ruhmannsfelden</w:t>
            </w:r>
            <w:r w:rsidR="00851838" w:rsidRPr="00BE439A">
              <w:rPr>
                <w:rFonts w:ascii="Bahnschrift Light SemiCondensed" w:hAnsi="Bahnschrift Light SemiCondensed"/>
                <w:sz w:val="22"/>
                <w:szCs w:val="22"/>
              </w:rPr>
              <w:t>, den</w:t>
            </w:r>
            <w:r w:rsidR="00A2417C">
              <w:rPr>
                <w:rFonts w:ascii="Bahnschrift Light SemiCondensed" w:hAnsi="Bahnschrift Light SemiCondensed"/>
                <w:sz w:val="22"/>
                <w:szCs w:val="22"/>
              </w:rPr>
              <w:t xml:space="preserve"> </w:t>
            </w:r>
            <w:r w:rsidR="00194AD3">
              <w:rPr>
                <w:rFonts w:ascii="Bahnschrift Light SemiCondensed" w:hAnsi="Bahnschrift Light SemiCondensed"/>
                <w:sz w:val="22"/>
                <w:szCs w:val="22"/>
              </w:rPr>
              <w:t>09.02.2022</w:t>
            </w:r>
          </w:p>
          <w:p w:rsidR="00851838" w:rsidRDefault="00851838"/>
        </w:tc>
      </w:tr>
    </w:tbl>
    <w:p w:rsidR="00851838" w:rsidRDefault="00851838"/>
    <w:p w:rsidR="00851838" w:rsidRDefault="00851838"/>
    <w:p w:rsidR="00851838" w:rsidRPr="00C32CDC" w:rsidRDefault="00851838" w:rsidP="00C32CDC">
      <w:pPr>
        <w:pBdr>
          <w:top w:val="single" w:sz="4" w:space="1" w:color="auto"/>
          <w:left w:val="single" w:sz="4" w:space="4" w:color="auto"/>
          <w:bottom w:val="single" w:sz="4" w:space="7"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rsidR="00851838" w:rsidRDefault="00851838" w:rsidP="004636DB">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 xml:space="preserve">Bauleitplanverfahren – </w:t>
      </w:r>
      <w:r w:rsidR="00A2417C">
        <w:rPr>
          <w:rFonts w:ascii="Bahnschrift Light SemiCondensed" w:hAnsi="Bahnschrift Light SemiCondensed"/>
          <w:b/>
          <w:sz w:val="22"/>
          <w:szCs w:val="22"/>
        </w:rPr>
        <w:t xml:space="preserve">Satzungsbeschluss </w:t>
      </w:r>
      <w:r w:rsidR="004A5E89">
        <w:rPr>
          <w:rFonts w:ascii="Bahnschrift Light SemiCondensed" w:hAnsi="Bahnschrift Light SemiCondensed"/>
          <w:b/>
          <w:sz w:val="22"/>
          <w:szCs w:val="22"/>
        </w:rPr>
        <w:t xml:space="preserve">über die </w:t>
      </w:r>
      <w:r w:rsidR="006829D4">
        <w:rPr>
          <w:rFonts w:ascii="Bahnschrift Light SemiCondensed" w:hAnsi="Bahnschrift Light SemiCondensed"/>
          <w:b/>
          <w:sz w:val="22"/>
          <w:szCs w:val="22"/>
        </w:rPr>
        <w:t xml:space="preserve">Aufhebungssatzung für den vorhaben </w:t>
      </w:r>
      <w:proofErr w:type="spellStart"/>
      <w:r w:rsidR="006829D4">
        <w:rPr>
          <w:rFonts w:ascii="Bahnschrift Light SemiCondensed" w:hAnsi="Bahnschrift Light SemiCondensed"/>
          <w:b/>
          <w:sz w:val="22"/>
          <w:szCs w:val="22"/>
        </w:rPr>
        <w:t>bezogenenen</w:t>
      </w:r>
      <w:proofErr w:type="spellEnd"/>
      <w:r w:rsidR="006829D4">
        <w:rPr>
          <w:rFonts w:ascii="Bahnschrift Light SemiCondensed" w:hAnsi="Bahnschrift Light SemiCondensed"/>
          <w:b/>
          <w:sz w:val="22"/>
          <w:szCs w:val="22"/>
        </w:rPr>
        <w:t xml:space="preserve"> Bebauungsplan mit der Bezeichnung „Vorhaben und Erschließungsplan GE </w:t>
      </w:r>
      <w:proofErr w:type="spellStart"/>
      <w:r w:rsidR="006829D4">
        <w:rPr>
          <w:rFonts w:ascii="Bahnschrift Light SemiCondensed" w:hAnsi="Bahnschrift Light SemiCondensed"/>
          <w:b/>
          <w:sz w:val="22"/>
          <w:szCs w:val="22"/>
        </w:rPr>
        <w:t>Hoffeld</w:t>
      </w:r>
      <w:proofErr w:type="spellEnd"/>
      <w:r w:rsidR="006829D4">
        <w:rPr>
          <w:rFonts w:ascii="Bahnschrift Light SemiCondensed" w:hAnsi="Bahnschrift Light SemiCondensed"/>
          <w:b/>
          <w:sz w:val="22"/>
          <w:szCs w:val="22"/>
        </w:rPr>
        <w:t xml:space="preserve"> – Teilfläche“</w:t>
      </w:r>
      <w:r w:rsidR="004A5E89">
        <w:rPr>
          <w:rFonts w:ascii="Bahnschrift Light SemiCondensed" w:hAnsi="Bahnschrift Light SemiCondensed"/>
          <w:b/>
          <w:sz w:val="22"/>
          <w:szCs w:val="22"/>
        </w:rPr>
        <w:t xml:space="preserve"> </w:t>
      </w:r>
      <w:r w:rsidRPr="00880272">
        <w:rPr>
          <w:rFonts w:ascii="Bahnschrift Light SemiCondensed" w:hAnsi="Bahnschrift Light SemiCondensed"/>
          <w:b/>
          <w:sz w:val="22"/>
          <w:szCs w:val="22"/>
        </w:rPr>
        <w:t xml:space="preserve">gem. § </w:t>
      </w:r>
      <w:r w:rsidR="00A2417C">
        <w:rPr>
          <w:rFonts w:ascii="Bahnschrift Light SemiCondensed" w:hAnsi="Bahnschrift Light SemiCondensed"/>
          <w:b/>
          <w:sz w:val="22"/>
          <w:szCs w:val="22"/>
        </w:rPr>
        <w:t>10</w:t>
      </w:r>
      <w:r w:rsidRPr="00880272">
        <w:rPr>
          <w:rFonts w:ascii="Bahnschrift Light SemiCondensed" w:hAnsi="Bahnschrift Light SemiCondensed"/>
          <w:b/>
          <w:sz w:val="22"/>
          <w:szCs w:val="22"/>
        </w:rPr>
        <w:t xml:space="preserve"> Abs. </w:t>
      </w:r>
      <w:r w:rsidR="004A5E89">
        <w:rPr>
          <w:rFonts w:ascii="Bahnschrift Light SemiCondensed" w:hAnsi="Bahnschrift Light SemiCondensed"/>
          <w:b/>
          <w:sz w:val="22"/>
          <w:szCs w:val="22"/>
        </w:rPr>
        <w:t>1</w:t>
      </w:r>
      <w:r w:rsidRPr="00880272">
        <w:rPr>
          <w:rFonts w:ascii="Bahnschrift Light SemiCondensed" w:hAnsi="Bahnschrift Light SemiCondensed"/>
          <w:b/>
          <w:sz w:val="22"/>
          <w:szCs w:val="22"/>
        </w:rPr>
        <w:t xml:space="preserve"> BauGB</w:t>
      </w:r>
    </w:p>
    <w:p w:rsidR="00851838" w:rsidRDefault="00851838" w:rsidP="00C32CDC">
      <w:pPr>
        <w:pBdr>
          <w:top w:val="single" w:sz="4" w:space="1" w:color="auto"/>
          <w:left w:val="single" w:sz="4" w:space="4" w:color="auto"/>
          <w:bottom w:val="single" w:sz="4" w:space="7" w:color="auto"/>
          <w:right w:val="single" w:sz="4" w:space="4" w:color="auto"/>
        </w:pBdr>
        <w:rPr>
          <w:rFonts w:ascii="Bahnschrift Light SemiCondensed" w:hAnsi="Bahnschrift Light SemiCondensed"/>
          <w:sz w:val="22"/>
          <w:szCs w:val="22"/>
        </w:rPr>
      </w:pPr>
    </w:p>
    <w:p w:rsidR="00851838" w:rsidRDefault="004A5E89"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Der Markt Ruhmannsfelden</w:t>
      </w:r>
      <w:r w:rsidR="00A2417C">
        <w:rPr>
          <w:rFonts w:ascii="Bahnschrift Light SemiCondensed" w:hAnsi="Bahnschrift Light SemiCondensed"/>
          <w:szCs w:val="22"/>
        </w:rPr>
        <w:t xml:space="preserve"> hat mit Beschluss vom </w:t>
      </w:r>
      <w:r w:rsidR="006829D4">
        <w:rPr>
          <w:rFonts w:ascii="Bahnschrift Light SemiCondensed" w:hAnsi="Bahnschrift Light SemiCondensed"/>
          <w:szCs w:val="22"/>
        </w:rPr>
        <w:t>20.01.2022</w:t>
      </w:r>
      <w:r w:rsidR="00A2417C">
        <w:rPr>
          <w:rFonts w:ascii="Bahnschrift Light SemiCondensed" w:hAnsi="Bahnschrift Light SemiCondensed"/>
          <w:szCs w:val="22"/>
        </w:rPr>
        <w:t xml:space="preserve"> </w:t>
      </w:r>
      <w:r>
        <w:rPr>
          <w:rFonts w:ascii="Bahnschrift Light SemiCondensed" w:hAnsi="Bahnschrift Light SemiCondensed"/>
          <w:szCs w:val="22"/>
        </w:rPr>
        <w:t xml:space="preserve">die </w:t>
      </w:r>
      <w:r w:rsidR="006829D4" w:rsidRPr="006829D4">
        <w:rPr>
          <w:rFonts w:ascii="Bahnschrift Light SemiCondensed" w:hAnsi="Bahnschrift Light SemiCondensed"/>
          <w:szCs w:val="22"/>
        </w:rPr>
        <w:t xml:space="preserve">Aufhebungssatzung für den vorhaben </w:t>
      </w:r>
      <w:proofErr w:type="spellStart"/>
      <w:r w:rsidR="006829D4" w:rsidRPr="006829D4">
        <w:rPr>
          <w:rFonts w:ascii="Bahnschrift Light SemiCondensed" w:hAnsi="Bahnschrift Light SemiCondensed"/>
          <w:szCs w:val="22"/>
        </w:rPr>
        <w:t>bezogenenen</w:t>
      </w:r>
      <w:proofErr w:type="spellEnd"/>
      <w:r w:rsidR="006829D4" w:rsidRPr="006829D4">
        <w:rPr>
          <w:rFonts w:ascii="Bahnschrift Light SemiCondensed" w:hAnsi="Bahnschrift Light SemiCondensed"/>
          <w:szCs w:val="22"/>
        </w:rPr>
        <w:t xml:space="preserve"> Bebauungsplan mit der Bezeichnung „Vorhaben und Erschließungsplan GE </w:t>
      </w:r>
      <w:proofErr w:type="spellStart"/>
      <w:r w:rsidR="006829D4" w:rsidRPr="006829D4">
        <w:rPr>
          <w:rFonts w:ascii="Bahnschrift Light SemiCondensed" w:hAnsi="Bahnschrift Light SemiCondensed"/>
          <w:szCs w:val="22"/>
        </w:rPr>
        <w:t>Hoffeld</w:t>
      </w:r>
      <w:proofErr w:type="spellEnd"/>
      <w:r w:rsidR="006829D4" w:rsidRPr="006829D4">
        <w:rPr>
          <w:rFonts w:ascii="Bahnschrift Light SemiCondensed" w:hAnsi="Bahnschrift Light SemiCondensed"/>
          <w:szCs w:val="22"/>
        </w:rPr>
        <w:t xml:space="preserve"> </w:t>
      </w:r>
      <w:r>
        <w:rPr>
          <w:rFonts w:ascii="Bahnschrift Light SemiCondensed" w:hAnsi="Bahnschrift Light SemiCondensed"/>
          <w:szCs w:val="22"/>
        </w:rPr>
        <w:t xml:space="preserve">als Satzung gem. </w:t>
      </w:r>
      <w:r w:rsidR="00A2417C">
        <w:rPr>
          <w:rFonts w:ascii="Bahnschrift Light SemiCondensed" w:hAnsi="Bahnschrift Light SemiCondensed"/>
          <w:szCs w:val="22"/>
        </w:rPr>
        <w:t>§ 10 Abs. 1 BauGB beschlossen.</w:t>
      </w:r>
    </w:p>
    <w:p w:rsidR="00B67E60" w:rsidRDefault="00BB50EE"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73600" behindDoc="0" locked="0" layoutInCell="1" allowOverlap="1">
                <wp:simplePos x="0" y="0"/>
                <wp:positionH relativeFrom="column">
                  <wp:posOffset>6724650</wp:posOffset>
                </wp:positionH>
                <wp:positionV relativeFrom="paragraph">
                  <wp:posOffset>166370</wp:posOffset>
                </wp:positionV>
                <wp:extent cx="0" cy="470535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0" cy="470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88DD" id="Gerader Verbinde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13.1pt" to="529.5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" strokecolor="black [3200]" strokeweight=".5pt">
                <v:stroke joinstyle="miter"/>
              </v:line>
            </w:pict>
          </mc:Fallback>
        </mc:AlternateContent>
      </w:r>
    </w:p>
    <w:p w:rsidR="006B7685" w:rsidRDefault="00B67E60"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Dieser Beschluss wird hiermit gemäß § 10 Abs. 3 BauGB ortsüblich bekannt gemacht. Mit dieser Bekanntmachung tritt der Bebauungsplan in Kraft. </w:t>
      </w:r>
    </w:p>
    <w:p w:rsidR="00635E2C" w:rsidRDefault="00BB50EE"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noProof/>
        </w:rPr>
        <w:drawing>
          <wp:anchor distT="0" distB="0" distL="114300" distR="114300" simplePos="0" relativeHeight="251672576" behindDoc="0" locked="0" layoutInCell="1" allowOverlap="1">
            <wp:simplePos x="0" y="0"/>
            <wp:positionH relativeFrom="column">
              <wp:posOffset>4143375</wp:posOffset>
            </wp:positionH>
            <wp:positionV relativeFrom="paragraph">
              <wp:posOffset>13970</wp:posOffset>
            </wp:positionV>
            <wp:extent cx="2397125" cy="3952875"/>
            <wp:effectExtent l="0" t="0" r="317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222" t="15908" r="30059" b="11333"/>
                    <a:stretch/>
                  </pic:blipFill>
                  <pic:spPr bwMode="auto">
                    <a:xfrm>
                      <a:off x="0" y="0"/>
                      <a:ext cx="2397125" cy="3952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E2C" w:rsidRDefault="00635E2C"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Der Bebauungsplan bedurfte keiner Genehmigung.</w:t>
      </w:r>
      <w:r w:rsidR="006829D4" w:rsidRPr="006829D4">
        <w:rPr>
          <w:rFonts w:ascii="Bahnschrift Light SemiCondensed" w:hAnsi="Bahnschrift Light SemiCondensed"/>
          <w:szCs w:val="22"/>
        </w:rPr>
        <w:t xml:space="preserve"> </w:t>
      </w:r>
    </w:p>
    <w:p w:rsidR="003541B0" w:rsidRDefault="003541B0"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B67E60"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Jedermann kann den Bebauungsplan mit der Begründung sowie die zusammenfassende Erklärung über die Art und Weise, wie die Umweltbelange und die Ergebnisse der Öffentlichkeits- und Behördenbeteiligung in dem Bebauungsplan berücksichtigt wurden, und aus welchen Gründen der Plan nach Abwägung mit den geprüften, in Betracht kommenden anderweitigen Planungsmöglichkeiten gewählt wurde, bei der Verwaltungsgemeinschaft Ruhmannsfelden, Bauamt, Zimmer EG 06, Am Rathaus 1, 94239 Ruhmannsfelden, von Montag bis Donnerstag von 08.00 Uhr bis 12.00 Uhr und von 13.30 Uhr bis 16.00 Uhr sowie am Freitag von 08.00 Uhr bis 12.00 Uhr, einsehen und über deren Inhalt Auskunft verlangen.</w:t>
      </w:r>
    </w:p>
    <w:p w:rsidR="00DC4242" w:rsidRDefault="00DC4242"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B67E60"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Auf die Voraussetzungen für die Geltendmachung der Verletzung von Verfahrens- und Formvorschriften und von Mängeln der Abwägung sowie die Rechtsfolgen des § 215 Abs. 1 BauGB wird hingewiesen.</w:t>
      </w:r>
    </w:p>
    <w:p w:rsidR="00B67E60" w:rsidRDefault="00B67E60"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B67E60"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Unbeachtlich werden demnach</w:t>
      </w:r>
    </w:p>
    <w:p w:rsidR="00B67E60" w:rsidRDefault="00B67E60"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6B7685" w:rsidP="006829D4">
      <w:pPr>
        <w:pBdr>
          <w:top w:val="single" w:sz="4" w:space="1" w:color="auto"/>
          <w:left w:val="single" w:sz="4" w:space="4" w:color="auto"/>
          <w:bottom w:val="single" w:sz="4" w:space="7" w:color="auto"/>
          <w:right w:val="single" w:sz="4" w:space="4" w:color="auto"/>
        </w:pBdr>
        <w:ind w:left="284" w:hanging="284"/>
        <w:jc w:val="both"/>
        <w:rPr>
          <w:rFonts w:ascii="Bahnschrift Light SemiCondensed" w:hAnsi="Bahnschrift Light SemiCondensed"/>
          <w:szCs w:val="22"/>
        </w:rPr>
      </w:pPr>
      <w:r>
        <w:rPr>
          <w:rFonts w:ascii="Bahnschrift Light SemiCondensed" w:hAnsi="Bahnschrift Light SemiCondensed"/>
          <w:szCs w:val="22"/>
        </w:rPr>
        <w:t>1.</w:t>
      </w:r>
      <w:r>
        <w:rPr>
          <w:rFonts w:ascii="Bahnschrift Light SemiCondensed" w:hAnsi="Bahnschrift Light SemiCondensed"/>
          <w:szCs w:val="22"/>
        </w:rPr>
        <w:tab/>
        <w:t>eine nach § 214 Abs. 1 Satz 1 Nr. 1 bis 3 BauGB beachtliche Verletzung der dort bezeichneten Verfahrens- und Formvorschriften,</w:t>
      </w:r>
    </w:p>
    <w:p w:rsidR="006B7685" w:rsidRDefault="006B7685" w:rsidP="006829D4">
      <w:pPr>
        <w:pBdr>
          <w:top w:val="single" w:sz="4" w:space="1" w:color="auto"/>
          <w:left w:val="single" w:sz="4" w:space="4" w:color="auto"/>
          <w:bottom w:val="single" w:sz="4" w:space="7" w:color="auto"/>
          <w:right w:val="single" w:sz="4" w:space="4" w:color="auto"/>
        </w:pBdr>
        <w:ind w:left="284" w:hanging="284"/>
        <w:jc w:val="both"/>
        <w:rPr>
          <w:rFonts w:ascii="Bahnschrift Light SemiCondensed" w:hAnsi="Bahnschrift Light SemiCondensed"/>
          <w:szCs w:val="22"/>
        </w:rPr>
      </w:pPr>
      <w:r>
        <w:rPr>
          <w:rFonts w:ascii="Bahnschrift Light SemiCondensed" w:hAnsi="Bahnschrift Light SemiCondensed"/>
          <w:szCs w:val="22"/>
        </w:rPr>
        <w:t>2.</w:t>
      </w:r>
      <w:r>
        <w:rPr>
          <w:rFonts w:ascii="Bahnschrift Light SemiCondensed" w:hAnsi="Bahnschrift Light SemiCondensed"/>
          <w:szCs w:val="22"/>
        </w:rPr>
        <w:tab/>
        <w:t>eine unter Berücksichtigung des § 214 Abs. 2 BauGB beachtliche Verletzung der Vorschriften über das Verhältnis des Bebauungsplans</w:t>
      </w:r>
    </w:p>
    <w:p w:rsidR="006B7685" w:rsidRDefault="006B7685"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und Flächennutzungsplans und</w:t>
      </w:r>
    </w:p>
    <w:p w:rsidR="006B7685" w:rsidRDefault="006B7685"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3.</w:t>
      </w:r>
      <w:r>
        <w:rPr>
          <w:rFonts w:ascii="Bahnschrift Light SemiCondensed" w:hAnsi="Bahnschrift Light SemiCondensed"/>
          <w:szCs w:val="22"/>
        </w:rPr>
        <w:tab/>
        <w:t>nach § 214 Abs. 3 Satz 2 BauGB beachtliche Mängel des Abwägungsvorgangs,</w:t>
      </w:r>
    </w:p>
    <w:p w:rsidR="006B7685" w:rsidRDefault="006B7685" w:rsidP="006829D4">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6B7685" w:rsidRDefault="006B7685"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wenn sie nicht innerhalb eines Jahres seit Bekanntmachung des Bebauungsplans schriftlich gegenüber der Gemeinde geltend gemacht worden sind; der Sachverhalt, der die Verletzung oder den Mangel begründen soll, ist darzulegen. Außerdem wird auf die Vorschriften des § 44 Abs. 3 Satz 1 und 2 sowie Abs. 4 BauGB hingewiesen. Danach erlöschen Entschädigungsansprüche für nach den §§ 39 bis 42 BauGB eingetretene Vermögensnachteile, wenn nicht innerhalb von drei Jahren nach Ablauf des Kalenderjahres, in dem die Vermögensnachteile eingetreten sind, die Fälligkeit des Anspruches herbeigeführt wird.</w:t>
      </w:r>
    </w:p>
    <w:p w:rsidR="00635E2C" w:rsidRDefault="00635E2C"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635E2C" w:rsidRDefault="00C32CDC"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4384" behindDoc="0" locked="0" layoutInCell="1" allowOverlap="1" wp14:anchorId="215E25A8" wp14:editId="33D77313">
                <wp:simplePos x="0" y="0"/>
                <wp:positionH relativeFrom="margin">
                  <wp:align>right</wp:align>
                </wp:positionH>
                <wp:positionV relativeFrom="paragraph">
                  <wp:posOffset>13335</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chemeClr val="lt1"/>
                        </a:solidFill>
                        <a:ln w="6350">
                          <a:solidFill>
                            <a:prstClr val="black"/>
                          </a:solidFill>
                        </a:ln>
                      </wps:spPr>
                      <wps:txbx>
                        <w:txbxContent>
                          <w:p w:rsidR="002845A8" w:rsidRDefault="002845A8" w:rsidP="002845A8">
                            <w:r>
                              <w:t xml:space="preserve">Angeheftet am:  </w:t>
                            </w:r>
                            <w:r w:rsidR="00C32CDC">
                              <w:t>1</w:t>
                            </w:r>
                            <w:r w:rsidR="00BB50EE">
                              <w:t>0.02.2022</w:t>
                            </w:r>
                          </w:p>
                          <w:p w:rsidR="002845A8" w:rsidRDefault="002845A8" w:rsidP="002845A8"/>
                          <w:p w:rsidR="002845A8" w:rsidRDefault="002845A8" w:rsidP="002845A8">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E25A8" id="_x0000_t202" coordsize="21600,21600" o:spt="202" path="m,l,21600r21600,l21600,xe">
                <v:stroke joinstyle="miter"/>
                <v:path gradientshapeok="t" o:connecttype="rect"/>
              </v:shapetype>
              <v:shape id="Textfeld 4" o:spid="_x0000_s1026" type="#_x0000_t202" style="position:absolute;left:0;text-align:left;margin-left:121.3pt;margin-top:1.05pt;width:172.5pt;height:52.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" fillcolor="white [3201]" strokeweight=".5pt">
                <v:textbox>
                  <w:txbxContent>
                    <w:p w:rsidR="002845A8" w:rsidRDefault="002845A8" w:rsidP="002845A8">
                      <w:r>
                        <w:t xml:space="preserve">Angeheftet am:  </w:t>
                      </w:r>
                      <w:r w:rsidR="00C32CDC">
                        <w:t>1</w:t>
                      </w:r>
                      <w:r w:rsidR="00BB50EE">
                        <w:t>0.02.2022</w:t>
                      </w:r>
                    </w:p>
                    <w:p w:rsidR="002845A8" w:rsidRDefault="002845A8" w:rsidP="002845A8"/>
                    <w:p w:rsidR="002845A8" w:rsidRDefault="002845A8" w:rsidP="002845A8">
                      <w:r>
                        <w:t>Abgenommen am:</w:t>
                      </w:r>
                    </w:p>
                  </w:txbxContent>
                </v:textbox>
                <w10:wrap anchorx="margin"/>
              </v:shape>
            </w:pict>
          </mc:Fallback>
        </mc:AlternateContent>
      </w:r>
      <w:r>
        <w:rPr>
          <w:rFonts w:ascii="Bahnschrift Light SemiCondensed" w:hAnsi="Bahnschrift Light SemiCondensed"/>
          <w:szCs w:val="22"/>
        </w:rPr>
        <w:t>Ruhmannsfelden</w:t>
      </w:r>
      <w:r w:rsidR="006B7685">
        <w:rPr>
          <w:rFonts w:ascii="Bahnschrift Light SemiCondensed" w:hAnsi="Bahnschrift Light SemiCondensed"/>
          <w:szCs w:val="22"/>
        </w:rPr>
        <w:t xml:space="preserve">, den </w:t>
      </w:r>
      <w:r w:rsidR="00BB50EE">
        <w:rPr>
          <w:rFonts w:ascii="Bahnschrift Light SemiCondensed" w:hAnsi="Bahnschrift Light SemiCondensed"/>
          <w:szCs w:val="22"/>
        </w:rPr>
        <w:t>0</w:t>
      </w:r>
      <w:r>
        <w:rPr>
          <w:rFonts w:ascii="Bahnschrift Light SemiCondensed" w:hAnsi="Bahnschrift Light SemiCondensed"/>
          <w:szCs w:val="22"/>
        </w:rPr>
        <w:t>9</w:t>
      </w:r>
      <w:r w:rsidR="003541B0">
        <w:rPr>
          <w:rFonts w:ascii="Bahnschrift Light SemiCondensed" w:hAnsi="Bahnschrift Light SemiCondensed"/>
          <w:szCs w:val="22"/>
        </w:rPr>
        <w:t>.</w:t>
      </w:r>
      <w:r>
        <w:rPr>
          <w:rFonts w:ascii="Bahnschrift Light SemiCondensed" w:hAnsi="Bahnschrift Light SemiCondensed"/>
          <w:szCs w:val="22"/>
        </w:rPr>
        <w:t>02</w:t>
      </w:r>
      <w:r w:rsidR="00635E2C">
        <w:rPr>
          <w:rFonts w:ascii="Bahnschrift Light SemiCondensed" w:hAnsi="Bahnschrift Light SemiCondensed"/>
          <w:szCs w:val="22"/>
        </w:rPr>
        <w:t>.</w:t>
      </w:r>
      <w:r w:rsidR="00BB50EE">
        <w:rPr>
          <w:rFonts w:ascii="Bahnschrift Light SemiCondensed" w:hAnsi="Bahnschrift Light SemiCondensed"/>
          <w:szCs w:val="22"/>
        </w:rPr>
        <w:t>2022</w:t>
      </w:r>
    </w:p>
    <w:p w:rsidR="006B7685" w:rsidRDefault="006B7685"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6B7685" w:rsidRDefault="00A630A1"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Gez.</w:t>
      </w:r>
    </w:p>
    <w:p w:rsidR="006B7685" w:rsidRDefault="00C32CDC"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Werner Troiber</w:t>
      </w:r>
    </w:p>
    <w:p w:rsidR="004636DB" w:rsidRPr="00B67E60" w:rsidRDefault="00C32CDC"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bookmarkStart w:id="0" w:name="_GoBack"/>
      <w:bookmarkEnd w:id="0"/>
    </w:p>
    <w:sectPr w:rsidR="004636DB" w:rsidRPr="00B67E60" w:rsidSect="0085183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38" w:rsidRDefault="00851838" w:rsidP="00851838">
      <w:r>
        <w:separator/>
      </w:r>
    </w:p>
  </w:endnote>
  <w:endnote w:type="continuationSeparator" w:id="0">
    <w:p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1270"/>
      <w:docPartObj>
        <w:docPartGallery w:val="Page Numbers (Bottom of Page)"/>
        <w:docPartUnique/>
      </w:docPartObj>
    </w:sdtPr>
    <w:sdtEndPr/>
    <w:sdtContent>
      <w:p w:rsidR="00851838" w:rsidRDefault="00851838">
        <w:pPr>
          <w:pStyle w:val="Fuzeile"/>
          <w:jc w:val="center"/>
        </w:pPr>
        <w:r>
          <w:fldChar w:fldCharType="begin"/>
        </w:r>
        <w:r>
          <w:instrText>PAGE   \* MERGEFORMAT</w:instrText>
        </w:r>
        <w:r>
          <w:fldChar w:fldCharType="separate"/>
        </w:r>
        <w:r w:rsidR="00A630A1">
          <w:rPr>
            <w:noProof/>
          </w:rPr>
          <w:t>1</w:t>
        </w:r>
        <w:r>
          <w:fldChar w:fldCharType="end"/>
        </w:r>
      </w:p>
    </w:sdtContent>
  </w:sdt>
  <w:p w:rsidR="00851838" w:rsidRDefault="00851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38" w:rsidRDefault="00851838" w:rsidP="00851838">
      <w:r>
        <w:separator/>
      </w:r>
    </w:p>
  </w:footnote>
  <w:footnote w:type="continuationSeparator" w:id="0">
    <w:p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38" w:rsidRDefault="00851838">
    <w:pPr>
      <w:pStyle w:val="Kopfzeile"/>
    </w:pPr>
    <w:r>
      <w:t xml:space="preserve">Bauleitplanverfahren – </w:t>
    </w:r>
    <w:r w:rsidR="003541B0">
      <w:t xml:space="preserve">Satzungsbeschluss </w:t>
    </w:r>
    <w:r w:rsidR="00194AD3" w:rsidRPr="00194AD3">
      <w:t xml:space="preserve">Aufhebungssatzung für den vorhaben </w:t>
    </w:r>
    <w:proofErr w:type="spellStart"/>
    <w:r w:rsidR="00194AD3" w:rsidRPr="00194AD3">
      <w:t>bezogenenen</w:t>
    </w:r>
    <w:proofErr w:type="spellEnd"/>
    <w:r w:rsidR="00194AD3" w:rsidRPr="00194AD3">
      <w:t xml:space="preserve"> Bebauungsplan mit der Bezeichnung „Vorhaben und Erschließungsplan GE </w:t>
    </w:r>
    <w:proofErr w:type="spellStart"/>
    <w:r w:rsidR="00194AD3" w:rsidRPr="00194AD3">
      <w:t>Hoffeld</w:t>
    </w:r>
    <w:proofErr w:type="spellEnd"/>
    <w:r w:rsidR="00194AD3" w:rsidRPr="00194AD3">
      <w:t xml:space="preserve"> – Teilfläche“</w:t>
    </w:r>
  </w:p>
  <w:p w:rsidR="00851838" w:rsidRDefault="008518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194AD3"/>
    <w:rsid w:val="002845A8"/>
    <w:rsid w:val="003541B0"/>
    <w:rsid w:val="004636DB"/>
    <w:rsid w:val="004A5E89"/>
    <w:rsid w:val="004F196F"/>
    <w:rsid w:val="00635E2C"/>
    <w:rsid w:val="006829D4"/>
    <w:rsid w:val="006B7685"/>
    <w:rsid w:val="00851838"/>
    <w:rsid w:val="00A2417C"/>
    <w:rsid w:val="00A630A1"/>
    <w:rsid w:val="00B67E60"/>
    <w:rsid w:val="00BB50EE"/>
    <w:rsid w:val="00C32CDC"/>
    <w:rsid w:val="00DC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D2595"/>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 w:type="paragraph" w:styleId="Sprechblasentext">
    <w:name w:val="Balloon Text"/>
    <w:basedOn w:val="Standard"/>
    <w:link w:val="SprechblasentextZchn"/>
    <w:uiPriority w:val="99"/>
    <w:semiHidden/>
    <w:unhideWhenUsed/>
    <w:rsid w:val="00C32C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CD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700F-BCBA-4FF3-95C9-1F8EF96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4</cp:revision>
  <cp:lastPrinted>2022-02-09T07:52:00Z</cp:lastPrinted>
  <dcterms:created xsi:type="dcterms:W3CDTF">2022-02-09T07:52:00Z</dcterms:created>
  <dcterms:modified xsi:type="dcterms:W3CDTF">2022-02-11T08:14:00Z</dcterms:modified>
</cp:coreProperties>
</file>